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 SCOTLAND SOCCER </w:t>
      </w:r>
      <w:r w:rsidDel="00000000" w:rsidR="00000000" w:rsidRPr="00000000">
        <w:rPr>
          <w:b w:val="1"/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, Inc (NSSC)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on TEAMS:  Composition And</w:t>
      </w:r>
      <w:r w:rsidDel="00000000" w:rsidR="00000000" w:rsidRPr="00000000">
        <w:rPr>
          <w:b w:val="1"/>
          <w:rtl w:val="0"/>
        </w:rPr>
        <w:t xml:space="preserve"> Commitment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NSSC will attempt to operate teams for the following age groups for boys and girls:  Under 8; Under 10; Under 12; Under 14; Under 16; and Under 17; and any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age groups as determined by the NSSC and CDYSL.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soccer year begins August 1 and ends July 31.  A players’ “soccer age” for the coming soccer year is determined by his/her age on July 31.  Teams in each age division will be comprised of players who</w:t>
      </w:r>
      <w:r w:rsidDel="00000000" w:rsidR="00000000" w:rsidRPr="00000000">
        <w:rPr>
          <w:rtl w:val="0"/>
        </w:rPr>
        <w:t xml:space="preserve"> meet the age requirement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</w:t>
      </w:r>
      <w:r w:rsidDel="00000000" w:rsidR="00000000" w:rsidRPr="00000000">
        <w:rPr>
          <w:rtl w:val="0"/>
        </w:rPr>
        <w:t xml:space="preserve">July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These age divisions are subject to changes made by the Capital District Youth Soccer League.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Team roster size (number of players):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Under 14 or older team shall be allowed more than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registered players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unless </w:t>
      </w:r>
      <w:r w:rsidDel="00000000" w:rsidR="00000000" w:rsidRPr="00000000">
        <w:rPr>
          <w:rtl w:val="0"/>
        </w:rPr>
        <w:t xml:space="preserve">approved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the Board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Directors.  None of these teams may have more than 22 players, per CDYSL rules.  No Under 14 or older team shall have fewer than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registered players unless approved by the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oard of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irectors.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Under 8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10 team shall have more than fourteen (14) players. </w:t>
      </w:r>
      <w:r w:rsidDel="00000000" w:rsidR="00000000" w:rsidRPr="00000000">
        <w:rPr>
          <w:rtl w:val="0"/>
        </w:rPr>
        <w:t xml:space="preserve">No Under 12 team shall have more than sixteen (16) players.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Maximu</w:t>
      </w:r>
      <w:r w:rsidDel="00000000" w:rsidR="00000000" w:rsidRPr="00000000">
        <w:rPr>
          <w:rtl w:val="0"/>
        </w:rPr>
        <w:t xml:space="preserve">m and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inimum roster sizes set by CDYSL will be adhered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more players than the maximum number allowed register on time, team tryouts may be conducted by the NSSC and/or players may be assigned to play on other teams in the club.  This determination will be made by the Board of Directors based upon the best interests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NSSC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(Please see the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olicy on Registration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810" w:hanging="360"/>
        <w:jc w:val="both"/>
        <w:rPr/>
      </w:pPr>
      <w:r w:rsidDel="00000000" w:rsidR="00000000" w:rsidRPr="00000000">
        <w:rPr>
          <w:rtl w:val="0"/>
        </w:rPr>
        <w:t xml:space="preserve">Players who live within the Town of New Scotland or attend Voorheesville Schools will be given preference over other registrants in filling rosters, provided they register on time.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Provided registration is completed on time, residency will take precedence over registration order.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Playing up: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 player may request to play in an older age group, however, the Board of Directors will make the determination after consulting with the coaches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hold tryouts.  The decision will be based on whether the move is in the best interest of both the NSSC and player development.  </w:t>
      </w:r>
      <w:r w:rsidDel="00000000" w:rsidR="00000000" w:rsidRPr="00000000">
        <w:rPr>
          <w:rtl w:val="0"/>
        </w:rPr>
        <w:t xml:space="preserve">Factors to be considered will include but not be limited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 player’s ability, grade level and team composition.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tl w:val="0"/>
        </w:rPr>
        <w:t xml:space="preserve">Playing time goals and objectives. All efforts will be made to ensure that: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Players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8, Under 10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teams will play equal time and play multiple positions each game.  U12 </w:t>
      </w:r>
      <w:r w:rsidDel="00000000" w:rsidR="00000000" w:rsidRPr="00000000">
        <w:rPr>
          <w:rtl w:val="0"/>
        </w:rPr>
        <w:t xml:space="preserve">Players may begin focusing on their strongest positions.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Players on Under 14 teams will play at least 1/3 of each game.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Players on Under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above teams will play at least 1/4 of each game.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Each of these guidelines in item 5 </w:t>
      </w:r>
      <w:r w:rsidDel="00000000" w:rsidR="00000000" w:rsidRPr="00000000">
        <w:rPr>
          <w:rtl w:val="0"/>
        </w:rPr>
        <w:t xml:space="preserve">is based on the assumption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players attend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games regularly.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hanging="360"/>
        <w:jc w:val="both"/>
        <w:rPr/>
      </w:pPr>
      <w:r w:rsidDel="00000000" w:rsidR="00000000" w:rsidRPr="00000000">
        <w:rPr>
          <w:rtl w:val="0"/>
        </w:rPr>
        <w:t xml:space="preserve">Time commitment: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and coaches are expected to devote a minimum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days per week to Club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games and/or practices - from April through June, the Spring pre-season and Season.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Parents are expected to support the player’s time commitment.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[Adopted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11/26/13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]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26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0" w:firstLine="0"/>
      <w:rPr/>
    </w:pPr>
    <w:r w:rsidDel="00000000" w:rsidR="00000000" w:rsidRPr="00000000">
      <w:rPr/>
      <w:drawing>
        <wp:inline distB="0" distT="0" distL="0" distR="0">
          <wp:extent cx="4467225" cy="7715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67225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